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both"/>
        <w:rPr>
          <w:rFonts w:ascii="Cambria" w:cs="Cambria" w:eastAsia="Cambria" w:hAnsi="Cambria"/>
          <w:color w:val="366091"/>
          <w:sz w:val="26"/>
          <w:szCs w:val="26"/>
        </w:rPr>
      </w:pPr>
      <w:r w:rsidDel="00000000" w:rsidR="00000000" w:rsidRPr="00000000">
        <w:rPr>
          <w:rFonts w:ascii="Cambria" w:cs="Cambria" w:eastAsia="Cambria" w:hAnsi="Cambria"/>
          <w:color w:val="366091"/>
          <w:sz w:val="26"/>
          <w:szCs w:val="26"/>
          <w:rtl w:val="0"/>
        </w:rPr>
        <w:t xml:space="preserve">Allegato 1 – Definizioni </w:t>
      </w:r>
    </w:p>
    <w:p w:rsidR="00000000" w:rsidDel="00000000" w:rsidP="00000000" w:rsidRDefault="00000000" w:rsidRPr="00000000" w14:paraId="00000002">
      <w:pPr>
        <w:spacing w:after="24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Avviso pubblico per la presentazione di </w:t>
      </w:r>
      <w:r w:rsidDel="00000000" w:rsidR="00000000" w:rsidRPr="00000000">
        <w:rPr>
          <w:rFonts w:ascii="Calibri" w:cs="Calibri" w:eastAsia="Calibri" w:hAnsi="Calibri"/>
          <w:b w:val="1"/>
          <w:i w:val="1"/>
          <w:rtl w:val="0"/>
        </w:rPr>
        <w:t xml:space="preserve">progetti di ricerca industriale e sviluppo sperimentale</w:t>
      </w:r>
      <w:r w:rsidDel="00000000" w:rsidR="00000000" w:rsidRPr="00000000">
        <w:rPr>
          <w:rFonts w:ascii="Calibri" w:cs="Calibri" w:eastAsia="Calibri" w:hAnsi="Calibri"/>
          <w:b w:val="1"/>
          <w:i w:val="1"/>
          <w:highlight w:val="yellow"/>
          <w:rtl w:val="0"/>
        </w:rPr>
        <w:t xml:space="preserve"> </w:t>
      </w:r>
      <w:r w:rsidDel="00000000" w:rsidR="00000000" w:rsidRPr="00000000">
        <w:rPr>
          <w:rFonts w:ascii="Calibri" w:cs="Calibri" w:eastAsia="Calibri" w:hAnsi="Calibri"/>
          <w:b w:val="1"/>
          <w:i w:val="1"/>
          <w:rtl w:val="0"/>
        </w:rPr>
        <w:t xml:space="preserve">‘bandi a cascata’ da finanziare nell’ambito del Piano nazionale per gli investimenti complementari al PNRR (PNC, istituito con il decreto-legge 6 maggio 2021, n. 59, convertito dalla legge n. 101 del 2021) a seguito dell'avviso pubblico per la concessione di finanziamenti destinati ad iniziative di ricerca per tecnologie e percorsi innovativi in ambito Sanitario e Assistenziale (Decreto Direttoriale n. 931 del 06-06-2022), progetto PNC0000007 - Fit for Medical Robotics (acronimo: Fit4MedRob) finanziato con il Decreto Direttoriale 9 dicembre 2022, prot. n. 0001984- CUP B53C22006950001</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fini del presente bando, sono adottate le seguenti definizioni: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Affiliato allo Spoke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altri soggetti giuridici autonomi già esistenti, indicati nel Programma di R&amp;S, che collaborano con lo Spoke per la realizzazione delle attività dello stesso.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Bandi a cascata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procedure competitive emanate dagli Spoke di natura pubblica di un progetto del Piano nazionale per gli investimenti complementari al PNRR, nel rispetto delle disposizioni sugli aiuti di Stato, sui concorsi e sui contratti pubblici,  nonché delle altre norme comunitarie e nazionali applicabili, per il reclutamento di ricercatori e tecnologi a  tempo determinato, per la concessione a soggetti esterni al Progetto del Piano nazionale per gli investimenti complementari al PNRR di finanziamenti per attività di ricerca e per l’acquisto di forniture, beni e servizi necessari alla sua attuazione. Per il Bando specifico, connesso ad un Progetto del Piano nazionale per gli investimenti complementari al PNRR, le procedure sono emanate ai sensi dell’Art. 5 dell’Avviso Pubblico n. 3138 del 16 dicembre 2021.</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Collaborazione effettiva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collaborazione tra almeno due parti indipendenti, finalizzata allo scambio di conoscenze o di tecnologie, o al conseguimento di un obiettivo comune basato sulla divisione del lavoro, nella quale le parti definiscono di comune accordo la portata del progetto di collaborazione, contribuiscono alla sua attuazione e ne condividono i rischi e i risultati. La ricerca contrattuale e la prestazione di servizi di ricerca non sono considerate forme di collaborazione. Ai fini del presente bando con il termine “collaborazione effettiva” si intende in particolare un progetto che: preveda la collaborazione effettiva tra più partner, siano esse imprese Enti Pubblici di Ricerca, di cui almeno una è una PMI e non prevede che un singolo partner sostenga da solo più del 70 % dei costi ammissibili.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Componente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Elemento costitutivo o parte del PNRR che riflette riforme e priorità di investimento correlate ad un’area di intervento, ad un settore, ad un ambito, ad un’attività, allo scopo di affrontare sfide specifiche e si articola in una o più misure.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Codice Unico di Progetto (CUP) è il codice che identifica un progetto d'investimento pubblico ed è lo strumento cardine per il funzionamento del Sistema di Monitoraggio degli Investimenti Pubblici.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No Significant Harm (DNSH)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principio del “non arrecare danno significativo” secondo il quale nessuna misura finanziata dagli avvisi deve arrecare danno agli obiettivi ambientali, in coerenza con l'articolo 17 del Regolamento (UE) 2020/852. Tale principio è teso a provare che gli investimenti e le riforme previste non ostacolino la mitigazione dei cambiamenti climatici.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Grandi Imprese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imprese che non soddisfano i criteri di cui all'allegato 1 del Regolamento (UE) N. 651/2014 della Commissione, del 17 giugno 2014, pubblicato nella Gazzetta Ufficiale dell’Unione europea L 187 del 26 giugno 2014. 4).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Hub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Soggetto attuatore, responsabile dell’avvio, dell’attuazione e della gestione del Progetto del Piano nazionale per gli investimenti complementari al PNRR. In particolare, l’art.1, comma 4, lett. o) del decreto-legge 31 maggio 2021, n. 77, convertito con modificazioni dalla legge 29 luglio 2021 n. 108, indica che i soggetti attuatori sono: “i soggetti pubblici o privati che provvedono alla realizzazione degli interventi previsti dal PNRR”.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Imprese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come definite al punto 7 della Comunicazione della Commissione 2016/C 262/01 sulla nozione di aiuto di Stato di cui all'articolo 107, paragrafo 1, del Trattato sul funzionamento dell'Unione Europea;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Imprese indipendenti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imprese indipendenti tra loro secondo la definizione di “impresa autonoma” di cui all’art. 3 comma 1 Allegato I del Regolamento (UE) n. 651/2014 ovvero non risultare né associate né collegate ad alcun soggetto componente il partenariato.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Impresa in difficoltà</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un'impresa che soddisfa almeno una delle seguenti circostanze (art. 2, comma 18 Regolamento (UE) n. 651/2014):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(1) e, se del caso, il «capitale sociale» comprende eventuali premi di emissione;</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qualora l'impresa sia oggetto di procedura concorsuale per insolvenza o soddisfi le condizioni previste dal diritto nazionale per l'apertura nei suoi confronti di una tale procedura su richiesta dei suoi creditori o su iniziativa dell’impresa stessa;</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qualora l'impresa abbia ricevuto un aiuto per il salvataggio e non abbia ancora rimborsato il prestito o revocato la garanzia, o abbia ricevuto un aiuto per la ristrutturazione e sia ancora soggetta a un piano di ristrutturazione;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caso di un'impresa diversa da una PMI, qualora, negli ultimi due anni: 1) il rapporto debito/patrimonio netto contabile dell'impresa sia stato superiore a 7,5; e 2) il quoziente di copertura degli interessi dell’impresa (EBITDA/interessi) sia stato inferiore a 1,0.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Intensità di aiuto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l'importo lordo dell'aiuto espresso in percentuale dei costi ammissibili del progetto. Tutti valori utilizzati sono al lordo di qualsiasi imposta o altro onere. Quando un aiuto è concesso in forma diversa da una sovvenzione diretta in denaro, l'importo dell'aiuto è l'equivalente sovvenzione dell'aiuto. L’intensità dell’aiuto è calcolata per ciascun beneficiario.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 Piccole e Medie imprese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secondo la definizione dell’Allegato 1 del Regolamento (UE) n. 651/2014 a cui si rimanda e di cui si sintetizza di seguito la definizione:   </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Microimpresa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impresa che ha meno di 10 occupati (conteggiati con il criterio delle ULA, unità lavorative annue) e soddisfa almeno una delle due seguenti condizioni aggiuntive: a) ha un fatturato inferiore a 2 milioni di euro, o b) ha un totale di bilancio inferiore a 2 milioni di euro.   </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Piccola impresa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impresa che ha meno di 50 occupati (conteggiati con il criterio delle ULA, unità lavorative annue) e soddisfa almeno una delle due seguenti condizioni aggiuntive: a) ha un fatturato inferiore a 10 milioni di euro, o b) ha un totale di bilancio inferiore a 10 milioni di euro.   </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Media impresa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impresa che ha meno di 250 occupati (conteggiati con il criterio delle ULA, unità lavorative annue) e soddisfa almeno una delle due seguenti condizioni aggiuntive: a) ha un fatturato inferiore a 50 milioni di euro, o b) ha un totale di bilancio inferiore a 43 milioni di euro.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conteggio dei dati sugli occupati, sul fatturato e sul totale di bilancio vanno aggiunti:  </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dati delle eventuali società associate alla MPMI beneficiaria, in proporzione alla quota di partecipazione al capitale;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dati delle eventuali società collegate alla MPMI beneficiaria, nella loro interezza. Per una illustrazione completa dei rapporti di associazione e collegamento si rimanda alla guida alla definizione di MPMI della Commissione Europea, che può essere consultata a partire da questo indirizzo: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sme_definition_user_guide_it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463c1"/>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Milestone/target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traguardo quali/quantitativo da raggiungere tramite una determinata misura (riforma e/o investimento) del PNRR.</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Missione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Risposta, organizzata secondo macro-obiettivi generali e aree di intervento, rispetto alle sfide economiche-sociali che si intendono affrontare con il PNRR e articolata in Componenti. Le sei Missioni del Piano rappresentano aree “tematiche” strutturali di intervento (Digitalizzazione, innovazione, competitività e cultura; Rivoluzione verde e transizione ecologica; Infrastrutture per una mobilità sostenibile; Istruzione e ricerca; Inclusione e coesione; Salute).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Ministero dell'Università e della Ricerca nella qualità di Amministrazione centrale titolare della Missione 4 del PNRR, che ha la responsabilità dell’attuazione delle riforme e degli investimenti (ossia delle Misure) ivi previsti e provvede al coordinamento delle attività di gestione, monitoraggio, rendicontazione e controllo relative agli interventi.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Organismo di Ricerca e della diffusione della conoscenza (OdR)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 sensi del punto 1.3 lettera (ff) della  nuova Disciplina RSI di cui alla comunicazione C(2022) 7388 del 19 Ottobre del 2022, per organismo di ricerca  e di diffusione della conoscenza si intende entità (ad esempio, università o istituti di ricerca, agenzie incaricate del trasferimento di conoscenze, intermediari dell'innovazione, entità collaborative reali o virtuali  orientate alla ricerca), indipendentemente dal suo status giuridico (costituito secondo il diritto privato o  pubblico) o fonte di finanziamento, la cui finalità principale consiste nello svolgere in maniera indipendente  attività di ricerca fondamentale, di ricerca industriale o di sviluppo sperimentale o nel garantire un'ampia  diffusione dei risultati di tali attività mediante l'insegnamento, la pubblicazione o il trasferimento di  conoscenze. Qualora tale entità svolga anche attività economiche, il finanziamento, i costi e i ricavi di tali attività economiche devono formare oggetto di contabilità separata. Le imprese in grado di esercitare un'influenza determinante su tale entità, ad esempio in qualità di azionisti o di soci, non possono godere di alcun accesso preferenziale ai risultati da essa generati. I suddetti requisiti, previsti per l'OdR, saranno verificati all'interno dello Statuto/Atto costitutivo.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PMI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piccole e medie imprese secondo la definizione dell’allegato 1 del Regolamento (UE) n. 651/2014 a cui si rimanda unitamente alla Guida alla definizione di PMI della Commissione Europea, che può essere consultata a questo indirizzo: </w:t>
      </w:r>
      <w:r w:rsidDel="00000000" w:rsidR="00000000" w:rsidRPr="00000000">
        <w:rPr>
          <w:rFonts w:ascii="Calibri" w:cs="Calibri" w:eastAsia="Calibri" w:hAnsi="Calibri"/>
          <w:b w:val="0"/>
          <w:i w:val="0"/>
          <w:smallCaps w:val="0"/>
          <w:strike w:val="0"/>
          <w:color w:val="0463c1"/>
          <w:sz w:val="22"/>
          <w:szCs w:val="22"/>
          <w:u w:val="single"/>
          <w:shd w:fill="auto" w:val="clear"/>
          <w:vertAlign w:val="baseline"/>
          <w:rtl w:val="0"/>
        </w:rPr>
        <w:t xml:space="preserve">https://single-market-economy.ec.europa.eu/smes/sme-definition_en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PNRR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Piano Nazionale per la Ripresa e la Resilienza presentato dall’Italia a norma del Regolamento (UE) 2021/241 approvato con Decisione del Consiglio ECOFIN del 13 luglio 2021 e notificata all’Italia dal Segretariato generale del Consiglio con nota LT161/21, del 14 luglio 2021.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Programma di R&amp;S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attività del Progetto del Piano nazionale per gli investimenti complementari al PNC Fit for Medical Robotics - Fit4MedRob.</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Progetto o Intervento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Specifico progetto/intervento (anche inteso come insieme di attività e/o procedure) selezionato e finanziato nell’ambito del Bando e identificato attraverso un Codice Unico di Progetto (CUP).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Regime di aiuto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Qualsiasi atto in base al quale, senza che siano necessarie ulteriori misure di attuazione, possono essere concessi aiuti individuali a favore di imprese definite in maniera generale e astratta nell'atto stesso così come qualsiasi atto in base al quale un aiuto non legato a un progetto specifico può essere concesso a una o più imprese per un periodo di tempo indefinito e/o per un ammontare indefinito.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Rendicontazione dei milestone e target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Attività finalizzata a fornire elementi comprovanti il raggiungimento degli obiettivi del Piano (milestone e target, UE e nazionali). Non è necessariamente legata all’avanzamento finanziario del progetto.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Rendicontazione delle Spese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Attività necessaria a comprovare la corretta esecuzione finanziaria del progetto.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Ricerca industriale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2, punto 85 del Regolamento (UE) N. 651/2014: ricerca pianificata o indagini critiche miranti ad acquisire nuove conoscenze e capacità da utilizzare per sviluppare nuovi prodotti, processi o servizi o per apportare un notevole miglioramento ai prodotti, processi o servizi esistenti. Essa comprende la creazione di componenti di sistemi complessi e può includere la costruzione di prototipi in ambiente di laboratorio o in un ambiente dotato di interfacce di simulazione verso sistemi esistenti e la realizzazione di linee pilota, se ciò e necessario ai fini della ricerca industriale, in particolare ai fini della convalida di tecnologie generiche.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Sede operativa di un’impresa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Sede operativa è uno dei luoghi dove viene effettivamente svolta l'attività imprenditoriale. Può coincidere o no con la Sede legale, e deve essere regolarmente comunicata alla Camera di Commercio competente.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Soggetto attuatore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indica i soggetti pubblici o privati che provvedono alla realizzazione degli interventi previsti dal PNRR secondo quanto indicato nel decreto-legge 31 maggio 2021, n. 77, convertito con modificazioni dalla legge 29 luglio 2021 n. 108. Tale soggetto è detto anche Hub.</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Soggetto Esecutore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indica il soggetto pubblico erogatore dei finanziamenti, che per il presente Bando si identifica nel Consiglio Nazionale delle Ricerche (CNR), coinvolto nella realizzazione del Programma FIT4MEDROB ed individuato nel rispetto della normativa comunitaria e nazionale applicabile. Nel linguaggio adottato dagli Avvisi MUR tale soggetto è indicato anche come Spoke.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Soggetto Proponente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 il soggetto pubblico/privato, o il raggruppamento, che presenta domanda di partecipazione al bando.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Soggetto 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soggetti che ricevono finanziamenti nell’ambito dei bandi a cascata;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Spoke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Soggetto realizzatore, soggetto pubblico o operatore economico privato coinvolto nella realizzazione del Programma di R&amp;S, per il presente Bando il Programma FIT4MEDROB, ed individuato nel rispetto della normativa comunitaria e nazionale applicabile. Esso svolge direttamente parte delle attività ad essi attribuite dal Progetto e si avvale di altri soggetti per lo svolgimento delle restanti attività: (i) i soggetti affiliati allo Spoke, già noti (ii) soggetti terzi da individuare mediante i bandi a cascata di cui all’Art. 5 dell’Avviso del Ministero dell’Università e della Ricerca n. 3138 del 16 dicembre 2021 finalizzato alla creazione di cinque Campioni Nazionali sul territorio nazionale.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Sistema ReGis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Sistema informatico di cui all’articolo 1, comma 1043 della legge di bilancio n. 178/2020 (legge bilancio 2021), sviluppato per supportare le attività di gestione, di monitoraggio, di rendicontazione e di controllo del PNRR e atto a garantire lo scambio elettronico dei dati tra i diversi soggetti coinvolti nella Governance del Piano.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Sviluppo sperimentale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2, punto 86 del Regolamento (UE) N. 651/2014: l'acquisizione, la combinazione, la strutturazione e l'utilizzo delle conoscenze e capacità esistenti di natura scientifica, tecnologica, commerciale e di altro tipo allo scopo di sviluppare prodotti, processi o servizi nuovi o migliorati. Rientrano in questa definizione anche altre attività destinate alla definizione concettuale, alla pianificazione e alla documentazione di nuovi prodotti, processi o servizi. Rientrano nello sviluppo sperimentale la costruzione di prototipi, la dimostrazione, la realizzazione di prodotti pilota, test e convalida di prodotti, processi o servizi nuovi o migliorati, effettuate in un ambiente che riproduce le condizioni operative reali laddove l'obiettivo primario e l'apporto di ulteriori miglioramenti tecnici a prodotti, processi e servizi che non sono sostanzialmente definitivi. Lo sviluppo sperimentale può quindi comprendere lo sviluppo di un prototipo o di un prodotto pilota utilizzabile per scopi commerciali che è necessariamente il prodotto commerciale finale e il cui costo di fabbricazione è troppo elevato per essere utilizzato soltanto a fini di dimostrazione e di convalida. Lo sviluppo sperimentale non comprende tuttavia le modifiche di routine o le modifiche periodiche apportate a prodotti, linee di produzione, processi di fabbricazione e servizi esistenti e ad altre operazioni in corso, anche quando tali modifiche rappresentino miglioramenti.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TRL (Technology Readiness Level)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termine Technology Readiness Level (acronimo TRL), che si può tradurre con Livello di Maturità Tecnologica, indica una metodologia per la valutazione del grado di maturità di una tecnologia. Ai fini del Programma Horizon 2020 sono stati in particolare individuati i seguenti 9 Livelli: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TRL 1 = osservazione dei principi fondamentali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TRL 2 = formulazione di un concept tecnologico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TRL 3 = proof of concept sperimentale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TRL 4 = validazione tecnologica in ambiente di laboratorio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TRL 5 = validazione tecnologica in ambito industriale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TRL 6 = dimostrazione della tecnologia in ambito industriale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TRL 7 = dimostrazione del prototipo in ambiente operativo reale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TRL 8 = definizione e qualificazione completa del sistema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TRL 9 = dimostrazione completa del sistema in ambiente operativo reale (prova funzionale con tecnologie abilitanti ed applicazione al settore industriale specifico).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Unità produttiva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stabilimento o struttura finalizzata alla produzione di beni o all’erogazione di servizi dotati di autonomia finanziaria e tecnico funzionale (articolo 2, comma 1, lettera t, del decreto legislativo 81/2008). A mero titolo esemplificativo e non esaustivo, unità locali quali magazzini, uffici di rappresentanza, laboratori in affitto non si configurano quali unità locali attive e produttive.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B">
      <w:pPr>
        <w:spacing w:after="240" w:lineRule="auto"/>
        <w:jc w:val="both"/>
        <w:rPr>
          <w:rFonts w:ascii="Calibri" w:cs="Calibri" w:eastAsia="Calibri" w:hAnsi="Calibri"/>
          <w:i w:val="1"/>
          <w:color w:val="366091"/>
          <w:sz w:val="22"/>
          <w:szCs w:val="22"/>
        </w:rPr>
      </w:pPr>
      <w:r w:rsidDel="00000000" w:rsidR="00000000" w:rsidRPr="00000000">
        <w:rPr>
          <w:rtl w:val="0"/>
        </w:rPr>
      </w:r>
    </w:p>
    <w:sectPr>
      <w:headerReference r:id="rId8" w:type="default"/>
      <w:footerReference r:id="rId9" w:type="default"/>
      <w:pgSz w:h="16838" w:w="11906" w:orient="portrait"/>
      <w:pgMar w:bottom="1701" w:top="1843" w:left="1134" w:right="1134" w:header="426" w:footer="92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-165734</wp:posOffset>
          </wp:positionV>
          <wp:extent cx="1214755" cy="803275"/>
          <wp:effectExtent b="0" l="0" r="0" t="0"/>
          <wp:wrapNone/>
          <wp:docPr descr="Immagine che contiene testo, Carattere, Elementi grafici, logo&#10;&#10;Descrizione generata automaticamente" id="590760480" name="image2.png"/>
          <a:graphic>
            <a:graphicData uri="http://schemas.openxmlformats.org/drawingml/2006/picture">
              <pic:pic>
                <pic:nvPicPr>
                  <pic:cNvPr descr="Immagine che contiene testo, Carattere, Elementi grafici, logo&#10;&#10;Descrizione generata automaticamente" id="0" name="image2.png"/>
                  <pic:cNvPicPr preferRelativeResize="0"/>
                </pic:nvPicPr>
                <pic:blipFill>
                  <a:blip r:embed="rId1"/>
                  <a:srcRect b="0" l="0" r="0" t="0"/>
                  <a:stretch>
                    <a:fillRect/>
                  </a:stretch>
                </pic:blipFill>
                <pic:spPr>
                  <a:xfrm>
                    <a:off x="0" y="0"/>
                    <a:ext cx="1214755" cy="8032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4406900</wp:posOffset>
          </wp:positionH>
          <wp:positionV relativeFrom="paragraph">
            <wp:posOffset>-166369</wp:posOffset>
          </wp:positionV>
          <wp:extent cx="1713230" cy="847725"/>
          <wp:effectExtent b="0" l="0" r="0" t="0"/>
          <wp:wrapNone/>
          <wp:docPr descr="Immagine che contiene Carattere, logo, Elementi grafici, design&#10;&#10;Descrizione generata automaticamente" id="590760481" name="image1.png"/>
          <a:graphic>
            <a:graphicData uri="http://schemas.openxmlformats.org/drawingml/2006/picture">
              <pic:pic>
                <pic:nvPicPr>
                  <pic:cNvPr descr="Immagine che contiene Carattere, logo, Elementi grafici, design&#10;&#10;Descrizione generata automaticamente" id="0" name="image1.png"/>
                  <pic:cNvPicPr preferRelativeResize="0"/>
                </pic:nvPicPr>
                <pic:blipFill>
                  <a:blip r:embed="rId2"/>
                  <a:srcRect b="0" l="0" r="0" t="0"/>
                  <a:stretch>
                    <a:fillRect/>
                  </a:stretch>
                </pic:blipFill>
                <pic:spPr>
                  <a:xfrm>
                    <a:off x="0" y="0"/>
                    <a:ext cx="1713230" cy="847725"/>
                  </a:xfrm>
                  <a:prstGeom prst="rect"/>
                  <a:ln/>
                </pic:spPr>
              </pic:pic>
            </a:graphicData>
          </a:graphic>
        </wp:anchor>
      </w:drawing>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-681989</wp:posOffset>
          </wp:positionH>
          <wp:positionV relativeFrom="paragraph">
            <wp:posOffset>-213358</wp:posOffset>
          </wp:positionV>
          <wp:extent cx="7478895" cy="981075"/>
          <wp:effectExtent b="0" l="0" r="0" t="0"/>
          <wp:wrapNone/>
          <wp:docPr descr="Immagine che contiene testo, schermata&#10;&#10;Descrizione generata automaticamente" id="590760479" name="image3.png"/>
          <a:graphic>
            <a:graphicData uri="http://schemas.openxmlformats.org/drawingml/2006/picture">
              <pic:pic>
                <pic:nvPicPr>
                  <pic:cNvPr descr="Immagine che contiene testo, schermata&#10;&#10;Descrizione generata automaticamente" id="0" name="image3.png"/>
                  <pic:cNvPicPr preferRelativeResize="0"/>
                </pic:nvPicPr>
                <pic:blipFill>
                  <a:blip r:embed="rId1"/>
                  <a:srcRect b="49701" l="4971" r="4994" t="41935"/>
                  <a:stretch>
                    <a:fillRect/>
                  </a:stretch>
                </pic:blipFill>
                <pic:spPr>
                  <a:xfrm>
                    <a:off x="0" y="0"/>
                    <a:ext cx="7478895" cy="981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widowControl w:val="0"/>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widowControl w:val="0"/>
      <w:spacing w:before="40" w:lineRule="auto"/>
    </w:pPr>
    <w:rPr>
      <w:rFonts w:ascii="Cambria" w:cs="Cambria" w:eastAsia="Cambria" w:hAnsi="Cambria"/>
      <w:color w:val="243f61"/>
    </w:rPr>
  </w:style>
  <w:style w:type="paragraph" w:styleId="Heading4">
    <w:name w:val="heading 4"/>
    <w:basedOn w:val="Normal"/>
    <w:next w:val="Normal"/>
    <w:pPr>
      <w:keepNext w:val="1"/>
      <w:keepLines w:val="1"/>
      <w:widowControl w:val="0"/>
      <w:spacing w:before="40" w:lineRule="auto"/>
    </w:pPr>
    <w:rPr>
      <w:rFonts w:ascii="Cambria" w:cs="Cambria" w:eastAsia="Cambria" w:hAnsi="Cambria"/>
      <w:i w:val="1"/>
      <w:color w:val="366091"/>
      <w:sz w:val="22"/>
      <w:szCs w:val="22"/>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0FF7"/>
    <w:pPr>
      <w:widowControl w:val="1"/>
      <w:autoSpaceDE w:val="1"/>
      <w:autoSpaceDN w:val="1"/>
    </w:pPr>
    <w:rPr>
      <w:rFonts w:ascii="Times New Roman" w:cs="Times New Roman" w:eastAsia="Times New Roman" w:hAnsi="Times New Roman"/>
      <w:sz w:val="24"/>
      <w:szCs w:val="24"/>
      <w:lang w:eastAsia="it-IT" w:val="it-IT"/>
    </w:rPr>
  </w:style>
  <w:style w:type="paragraph" w:styleId="Titolo1">
    <w:name w:val="heading 1"/>
    <w:basedOn w:val="Normale"/>
    <w:next w:val="Normale"/>
    <w:link w:val="Titolo1Carattere"/>
    <w:uiPriority w:val="9"/>
    <w:qFormat w:val="1"/>
    <w:rsid w:val="00980DA6"/>
    <w:pPr>
      <w:keepNext w:val="1"/>
      <w:keepLines w:val="1"/>
      <w:widowControl w:val="0"/>
      <w:autoSpaceDE w:val="0"/>
      <w:autoSpaceDN w:val="0"/>
      <w:spacing w:before="240"/>
      <w:outlineLvl w:val="0"/>
    </w:pPr>
    <w:rPr>
      <w:rFonts w:asciiTheme="majorHAnsi" w:cstheme="majorBidi" w:eastAsiaTheme="majorEastAsia" w:hAnsiTheme="majorHAnsi"/>
      <w:color w:val="365f91" w:themeColor="accent1" w:themeShade="0000BF"/>
      <w:sz w:val="32"/>
      <w:szCs w:val="32"/>
      <w:lang w:eastAsia="en-US" w:val="en-US"/>
    </w:rPr>
  </w:style>
  <w:style w:type="paragraph" w:styleId="Titolo2">
    <w:name w:val="heading 2"/>
    <w:basedOn w:val="Normale"/>
    <w:next w:val="Normale"/>
    <w:link w:val="Titolo2Carattere"/>
    <w:uiPriority w:val="9"/>
    <w:unhideWhenUsed w:val="1"/>
    <w:qFormat w:val="1"/>
    <w:rsid w:val="00CE5A46"/>
    <w:pPr>
      <w:keepNext w:val="1"/>
      <w:keepLines w:val="1"/>
      <w:widowControl w:val="0"/>
      <w:autoSpaceDE w:val="0"/>
      <w:autoSpaceDN w:val="0"/>
      <w:spacing w:before="40"/>
      <w:outlineLvl w:val="1"/>
    </w:pPr>
    <w:rPr>
      <w:rFonts w:asciiTheme="majorHAnsi" w:cstheme="majorBidi" w:eastAsiaTheme="majorEastAsia" w:hAnsiTheme="majorHAnsi"/>
      <w:color w:val="365f91" w:themeColor="accent1" w:themeShade="0000BF"/>
      <w:sz w:val="26"/>
      <w:szCs w:val="26"/>
      <w:lang w:eastAsia="en-US" w:val="en-US"/>
    </w:rPr>
  </w:style>
  <w:style w:type="paragraph" w:styleId="Titolo3">
    <w:name w:val="heading 3"/>
    <w:basedOn w:val="Normale"/>
    <w:next w:val="Normale"/>
    <w:link w:val="Titolo3Carattere"/>
    <w:uiPriority w:val="9"/>
    <w:unhideWhenUsed w:val="1"/>
    <w:qFormat w:val="1"/>
    <w:rsid w:val="00CE5A46"/>
    <w:pPr>
      <w:keepNext w:val="1"/>
      <w:keepLines w:val="1"/>
      <w:widowControl w:val="0"/>
      <w:autoSpaceDE w:val="0"/>
      <w:autoSpaceDN w:val="0"/>
      <w:spacing w:before="40"/>
      <w:outlineLvl w:val="2"/>
    </w:pPr>
    <w:rPr>
      <w:rFonts w:asciiTheme="majorHAnsi" w:cstheme="majorBidi" w:eastAsiaTheme="majorEastAsia" w:hAnsiTheme="majorHAnsi"/>
      <w:color w:val="243f60" w:themeColor="accent1" w:themeShade="00007F"/>
      <w:lang w:eastAsia="en-US" w:val="en-US"/>
    </w:rPr>
  </w:style>
  <w:style w:type="paragraph" w:styleId="Titolo4">
    <w:name w:val="heading 4"/>
    <w:basedOn w:val="Normale"/>
    <w:next w:val="Normale"/>
    <w:link w:val="Titolo4Carattere"/>
    <w:uiPriority w:val="9"/>
    <w:unhideWhenUsed w:val="1"/>
    <w:qFormat w:val="1"/>
    <w:rsid w:val="00CE5A46"/>
    <w:pPr>
      <w:keepNext w:val="1"/>
      <w:keepLines w:val="1"/>
      <w:widowControl w:val="0"/>
      <w:autoSpaceDE w:val="0"/>
      <w:autoSpaceDN w:val="0"/>
      <w:spacing w:before="40"/>
      <w:outlineLvl w:val="3"/>
    </w:pPr>
    <w:rPr>
      <w:rFonts w:asciiTheme="majorHAnsi" w:cstheme="majorBidi" w:eastAsiaTheme="majorEastAsia" w:hAnsiTheme="majorHAnsi"/>
      <w:i w:val="1"/>
      <w:iCs w:val="1"/>
      <w:color w:val="365f91" w:themeColor="accent1" w:themeShade="0000BF"/>
      <w:sz w:val="22"/>
      <w:szCs w:val="22"/>
      <w:lang w:eastAsia="en-US" w:val="en-US"/>
    </w:rPr>
  </w:style>
  <w:style w:type="paragraph" w:styleId="Titolo5">
    <w:name w:val="heading 5"/>
    <w:basedOn w:val="Normale"/>
    <w:next w:val="Normale"/>
    <w:link w:val="Titolo5Carattere"/>
    <w:uiPriority w:val="9"/>
    <w:semiHidden w:val="1"/>
    <w:unhideWhenUsed w:val="1"/>
    <w:qFormat w:val="1"/>
    <w:rsid w:val="00E669F3"/>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980DA6"/>
    <w:rPr>
      <w:rFonts w:asciiTheme="majorHAnsi" w:cstheme="majorBidi" w:eastAsiaTheme="majorEastAsia" w:hAnsiTheme="majorHAnsi"/>
      <w:color w:val="365f91" w:themeColor="accent1" w:themeShade="0000BF"/>
      <w:sz w:val="32"/>
      <w:szCs w:val="32"/>
    </w:rPr>
  </w:style>
  <w:style w:type="paragraph" w:styleId="Intestazione">
    <w:name w:val="header"/>
    <w:basedOn w:val="Normale"/>
    <w:link w:val="Intestazione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IntestazioneCarattere" w:customStyle="1">
    <w:name w:val="Intestazione Carattere"/>
    <w:basedOn w:val="Carpredefinitoparagrafo"/>
    <w:link w:val="Intestazione"/>
    <w:uiPriority w:val="99"/>
    <w:rsid w:val="000335A2"/>
  </w:style>
  <w:style w:type="paragraph" w:styleId="Pidipagina">
    <w:name w:val="footer"/>
    <w:basedOn w:val="Normale"/>
    <w:link w:val="Pidipagina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PidipaginaCarattere" w:customStyle="1">
    <w:name w:val="Piè di pagina Carattere"/>
    <w:basedOn w:val="Carpredefinitoparagrafo"/>
    <w:link w:val="Pidipagina"/>
    <w:uiPriority w:val="99"/>
    <w:rsid w:val="000335A2"/>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val="1"/>
    <w:rsid w:val="00101F84"/>
    <w:pPr>
      <w:widowControl w:val="0"/>
      <w:autoSpaceDE w:val="0"/>
      <w:autoSpaceDN w:val="0"/>
      <w:ind w:left="720"/>
      <w:contextualSpacing w:val="1"/>
    </w:pPr>
    <w:rPr>
      <w:rFonts w:asciiTheme="minorHAnsi" w:cstheme="minorBidi" w:eastAsiaTheme="minorHAnsi" w:hAnsiTheme="minorHAnsi"/>
      <w:sz w:val="22"/>
      <w:szCs w:val="22"/>
      <w:lang w:eastAsia="en-US" w:val="en-US"/>
    </w:rPr>
  </w:style>
  <w:style w:type="paragraph" w:styleId="NormaleWeb">
    <w:name w:val="Normal (Web)"/>
    <w:basedOn w:val="Normale"/>
    <w:link w:val="NormaleWebCarattere"/>
    <w:uiPriority w:val="99"/>
    <w:unhideWhenUsed w:val="1"/>
    <w:rsid w:val="001417C7"/>
    <w:pPr>
      <w:spacing w:after="100" w:afterAutospacing="1" w:before="100" w:beforeAutospacing="1"/>
    </w:pPr>
  </w:style>
  <w:style w:type="paragraph" w:styleId="Corpotesto">
    <w:name w:val="Body Text"/>
    <w:basedOn w:val="Normale"/>
    <w:link w:val="CorpotestoCarattere"/>
    <w:uiPriority w:val="1"/>
    <w:qFormat w:val="1"/>
    <w:rsid w:val="005B1460"/>
    <w:pPr>
      <w:widowControl w:val="0"/>
      <w:autoSpaceDE w:val="0"/>
      <w:autoSpaceDN w:val="0"/>
      <w:spacing w:before="120"/>
      <w:jc w:val="both"/>
    </w:pPr>
    <w:rPr>
      <w:rFonts w:asciiTheme="minorHAnsi" w:hAnsiTheme="minorHAnsi"/>
      <w:sz w:val="22"/>
      <w:lang w:eastAsia="en-US"/>
    </w:rPr>
  </w:style>
  <w:style w:type="character" w:styleId="CorpotestoCarattere" w:customStyle="1">
    <w:name w:val="Corpo testo Carattere"/>
    <w:basedOn w:val="Carpredefinitoparagrafo"/>
    <w:link w:val="Corpotesto"/>
    <w:uiPriority w:val="1"/>
    <w:rsid w:val="005B1460"/>
    <w:rPr>
      <w:rFonts w:cs="Times New Roman" w:eastAsia="Times New Roman"/>
      <w:szCs w:val="24"/>
      <w:lang w:val="it-IT"/>
    </w:rPr>
  </w:style>
  <w:style w:type="character" w:styleId="Collegamentoipertestuale">
    <w:name w:val="Hyperlink"/>
    <w:basedOn w:val="Carpredefinitoparagrafo"/>
    <w:uiPriority w:val="99"/>
    <w:unhideWhenUsed w:val="1"/>
    <w:rsid w:val="00C95629"/>
    <w:rPr>
      <w:color w:val="0000ff" w:themeColor="hyperlink"/>
      <w:u w:val="single"/>
    </w:rPr>
  </w:style>
  <w:style w:type="paragraph" w:styleId="Titolosommario">
    <w:name w:val="TOC Heading"/>
    <w:basedOn w:val="Titolo1"/>
    <w:next w:val="Normale"/>
    <w:uiPriority w:val="39"/>
    <w:unhideWhenUsed w:val="1"/>
    <w:qFormat w:val="1"/>
    <w:rsid w:val="00C95629"/>
    <w:pPr>
      <w:widowControl w:val="1"/>
      <w:autoSpaceDE w:val="1"/>
      <w:autoSpaceDN w:val="1"/>
      <w:spacing w:before="480" w:line="276" w:lineRule="auto"/>
      <w:outlineLvl w:val="9"/>
    </w:pPr>
    <w:rPr>
      <w:b w:val="1"/>
      <w:bCs w:val="1"/>
      <w:sz w:val="28"/>
      <w:szCs w:val="28"/>
      <w:lang w:eastAsia="it-IT" w:val="it-IT"/>
    </w:rPr>
  </w:style>
  <w:style w:type="paragraph" w:styleId="Sommario1">
    <w:name w:val="toc 1"/>
    <w:basedOn w:val="Normale"/>
    <w:next w:val="Normale"/>
    <w:autoRedefine w:val="1"/>
    <w:uiPriority w:val="39"/>
    <w:unhideWhenUsed w:val="1"/>
    <w:rsid w:val="00C95629"/>
    <w:pPr>
      <w:widowControl w:val="0"/>
      <w:autoSpaceDE w:val="0"/>
      <w:autoSpaceDN w:val="0"/>
      <w:spacing w:before="120"/>
    </w:pPr>
    <w:rPr>
      <w:rFonts w:asciiTheme="minorHAnsi" w:cstheme="minorHAnsi" w:eastAsiaTheme="minorHAnsi" w:hAnsiTheme="minorHAnsi"/>
      <w:b w:val="1"/>
      <w:bCs w:val="1"/>
      <w:i w:val="1"/>
      <w:iCs w:val="1"/>
      <w:lang w:eastAsia="en-US" w:val="en-US"/>
    </w:rPr>
  </w:style>
  <w:style w:type="paragraph" w:styleId="Sommario2">
    <w:name w:val="toc 2"/>
    <w:basedOn w:val="Normale"/>
    <w:next w:val="Normale"/>
    <w:autoRedefine w:val="1"/>
    <w:uiPriority w:val="39"/>
    <w:semiHidden w:val="1"/>
    <w:unhideWhenUsed w:val="1"/>
    <w:rsid w:val="00C95629"/>
    <w:pPr>
      <w:widowControl w:val="0"/>
      <w:autoSpaceDE w:val="0"/>
      <w:autoSpaceDN w:val="0"/>
      <w:spacing w:before="120"/>
      <w:ind w:left="220"/>
    </w:pPr>
    <w:rPr>
      <w:rFonts w:asciiTheme="minorHAnsi" w:cstheme="minorHAnsi" w:eastAsiaTheme="minorHAnsi" w:hAnsiTheme="minorHAnsi"/>
      <w:b w:val="1"/>
      <w:bCs w:val="1"/>
      <w:sz w:val="22"/>
      <w:szCs w:val="22"/>
      <w:lang w:eastAsia="en-US" w:val="en-US"/>
    </w:rPr>
  </w:style>
  <w:style w:type="paragraph" w:styleId="Sommario3">
    <w:name w:val="toc 3"/>
    <w:basedOn w:val="Normale"/>
    <w:next w:val="Normale"/>
    <w:autoRedefine w:val="1"/>
    <w:uiPriority w:val="39"/>
    <w:semiHidden w:val="1"/>
    <w:unhideWhenUsed w:val="1"/>
    <w:rsid w:val="00C95629"/>
    <w:pPr>
      <w:widowControl w:val="0"/>
      <w:autoSpaceDE w:val="0"/>
      <w:autoSpaceDN w:val="0"/>
      <w:ind w:left="440"/>
    </w:pPr>
    <w:rPr>
      <w:rFonts w:asciiTheme="minorHAnsi" w:cstheme="minorHAnsi" w:eastAsiaTheme="minorHAnsi" w:hAnsiTheme="minorHAnsi"/>
      <w:sz w:val="20"/>
      <w:szCs w:val="20"/>
      <w:lang w:eastAsia="en-US" w:val="en-US"/>
    </w:rPr>
  </w:style>
  <w:style w:type="paragraph" w:styleId="Sommario4">
    <w:name w:val="toc 4"/>
    <w:basedOn w:val="Normale"/>
    <w:next w:val="Normale"/>
    <w:autoRedefine w:val="1"/>
    <w:uiPriority w:val="39"/>
    <w:semiHidden w:val="1"/>
    <w:unhideWhenUsed w:val="1"/>
    <w:rsid w:val="00C95629"/>
    <w:pPr>
      <w:widowControl w:val="0"/>
      <w:autoSpaceDE w:val="0"/>
      <w:autoSpaceDN w:val="0"/>
      <w:ind w:left="660"/>
    </w:pPr>
    <w:rPr>
      <w:rFonts w:asciiTheme="minorHAnsi" w:cstheme="minorHAnsi" w:eastAsiaTheme="minorHAnsi" w:hAnsiTheme="minorHAnsi"/>
      <w:sz w:val="20"/>
      <w:szCs w:val="20"/>
      <w:lang w:eastAsia="en-US" w:val="en-US"/>
    </w:rPr>
  </w:style>
  <w:style w:type="paragraph" w:styleId="Sommario5">
    <w:name w:val="toc 5"/>
    <w:basedOn w:val="Normale"/>
    <w:next w:val="Normale"/>
    <w:autoRedefine w:val="1"/>
    <w:uiPriority w:val="39"/>
    <w:semiHidden w:val="1"/>
    <w:unhideWhenUsed w:val="1"/>
    <w:rsid w:val="00C95629"/>
    <w:pPr>
      <w:widowControl w:val="0"/>
      <w:autoSpaceDE w:val="0"/>
      <w:autoSpaceDN w:val="0"/>
      <w:ind w:left="880"/>
    </w:pPr>
    <w:rPr>
      <w:rFonts w:asciiTheme="minorHAnsi" w:cstheme="minorHAnsi" w:eastAsiaTheme="minorHAnsi" w:hAnsiTheme="minorHAnsi"/>
      <w:sz w:val="20"/>
      <w:szCs w:val="20"/>
      <w:lang w:eastAsia="en-US" w:val="en-US"/>
    </w:rPr>
  </w:style>
  <w:style w:type="paragraph" w:styleId="Sommario6">
    <w:name w:val="toc 6"/>
    <w:basedOn w:val="Normale"/>
    <w:next w:val="Normale"/>
    <w:autoRedefine w:val="1"/>
    <w:uiPriority w:val="39"/>
    <w:semiHidden w:val="1"/>
    <w:unhideWhenUsed w:val="1"/>
    <w:rsid w:val="00C95629"/>
    <w:pPr>
      <w:widowControl w:val="0"/>
      <w:autoSpaceDE w:val="0"/>
      <w:autoSpaceDN w:val="0"/>
      <w:ind w:left="1100"/>
    </w:pPr>
    <w:rPr>
      <w:rFonts w:asciiTheme="minorHAnsi" w:cstheme="minorHAnsi" w:eastAsiaTheme="minorHAnsi" w:hAnsiTheme="minorHAnsi"/>
      <w:sz w:val="20"/>
      <w:szCs w:val="20"/>
      <w:lang w:eastAsia="en-US" w:val="en-US"/>
    </w:rPr>
  </w:style>
  <w:style w:type="paragraph" w:styleId="Sommario7">
    <w:name w:val="toc 7"/>
    <w:basedOn w:val="Normale"/>
    <w:next w:val="Normale"/>
    <w:autoRedefine w:val="1"/>
    <w:uiPriority w:val="39"/>
    <w:semiHidden w:val="1"/>
    <w:unhideWhenUsed w:val="1"/>
    <w:rsid w:val="00C95629"/>
    <w:pPr>
      <w:widowControl w:val="0"/>
      <w:autoSpaceDE w:val="0"/>
      <w:autoSpaceDN w:val="0"/>
      <w:ind w:left="1320"/>
    </w:pPr>
    <w:rPr>
      <w:rFonts w:asciiTheme="minorHAnsi" w:cstheme="minorHAnsi" w:eastAsiaTheme="minorHAnsi" w:hAnsiTheme="minorHAnsi"/>
      <w:sz w:val="20"/>
      <w:szCs w:val="20"/>
      <w:lang w:eastAsia="en-US" w:val="en-US"/>
    </w:rPr>
  </w:style>
  <w:style w:type="paragraph" w:styleId="Sommario8">
    <w:name w:val="toc 8"/>
    <w:basedOn w:val="Normale"/>
    <w:next w:val="Normale"/>
    <w:autoRedefine w:val="1"/>
    <w:uiPriority w:val="39"/>
    <w:semiHidden w:val="1"/>
    <w:unhideWhenUsed w:val="1"/>
    <w:rsid w:val="00C95629"/>
    <w:pPr>
      <w:widowControl w:val="0"/>
      <w:autoSpaceDE w:val="0"/>
      <w:autoSpaceDN w:val="0"/>
      <w:ind w:left="1540"/>
    </w:pPr>
    <w:rPr>
      <w:rFonts w:asciiTheme="minorHAnsi" w:cstheme="minorHAnsi" w:eastAsiaTheme="minorHAnsi" w:hAnsiTheme="minorHAnsi"/>
      <w:sz w:val="20"/>
      <w:szCs w:val="20"/>
      <w:lang w:eastAsia="en-US" w:val="en-US"/>
    </w:rPr>
  </w:style>
  <w:style w:type="paragraph" w:styleId="Sommario9">
    <w:name w:val="toc 9"/>
    <w:basedOn w:val="Normale"/>
    <w:next w:val="Normale"/>
    <w:autoRedefine w:val="1"/>
    <w:uiPriority w:val="39"/>
    <w:semiHidden w:val="1"/>
    <w:unhideWhenUsed w:val="1"/>
    <w:rsid w:val="00C95629"/>
    <w:pPr>
      <w:widowControl w:val="0"/>
      <w:autoSpaceDE w:val="0"/>
      <w:autoSpaceDN w:val="0"/>
      <w:ind w:left="1760"/>
    </w:pPr>
    <w:rPr>
      <w:rFonts w:asciiTheme="minorHAnsi" w:cstheme="minorHAnsi" w:eastAsiaTheme="minorHAnsi" w:hAnsiTheme="minorHAnsi"/>
      <w:sz w:val="20"/>
      <w:szCs w:val="20"/>
      <w:lang w:eastAsia="en-US" w:val="en-US"/>
    </w:rPr>
  </w:style>
  <w:style w:type="character" w:styleId="Collegamentovisitato">
    <w:name w:val="FollowedHyperlink"/>
    <w:basedOn w:val="Carpredefinitoparagrafo"/>
    <w:uiPriority w:val="99"/>
    <w:semiHidden w:val="1"/>
    <w:unhideWhenUsed w:val="1"/>
    <w:rsid w:val="001B491D"/>
    <w:rPr>
      <w:color w:val="800080" w:themeColor="followedHyperlink"/>
      <w:u w:val="single"/>
    </w:rPr>
  </w:style>
  <w:style w:type="character" w:styleId="Menzionenonrisolta1" w:customStyle="1">
    <w:name w:val="Menzione non risolta1"/>
    <w:basedOn w:val="Carpredefinitoparagrafo"/>
    <w:uiPriority w:val="99"/>
    <w:semiHidden w:val="1"/>
    <w:unhideWhenUsed w:val="1"/>
    <w:rsid w:val="001B491D"/>
    <w:rPr>
      <w:color w:val="605e5c"/>
      <w:shd w:color="auto" w:fill="e1dfdd" w:val="clear"/>
    </w:rPr>
  </w:style>
  <w:style w:type="numbering" w:styleId="Elencocorrente1" w:customStyle="1">
    <w:name w:val="Elenco corrente1"/>
    <w:uiPriority w:val="99"/>
    <w:rsid w:val="001B491D"/>
    <w:pPr>
      <w:numPr>
        <w:numId w:val="1"/>
      </w:numPr>
    </w:pPr>
  </w:style>
  <w:style w:type="character" w:styleId="Titolo2Carattere" w:customStyle="1">
    <w:name w:val="Titolo 2 Carattere"/>
    <w:basedOn w:val="Carpredefinitoparagrafo"/>
    <w:link w:val="Titolo2"/>
    <w:uiPriority w:val="9"/>
    <w:rsid w:val="00CE5A46"/>
    <w:rPr>
      <w:rFonts w:asciiTheme="majorHAnsi" w:cstheme="majorBidi" w:eastAsiaTheme="majorEastAsia" w:hAnsiTheme="majorHAnsi"/>
      <w:color w:val="365f91" w:themeColor="accent1" w:themeShade="0000BF"/>
      <w:sz w:val="26"/>
      <w:szCs w:val="26"/>
    </w:rPr>
  </w:style>
  <w:style w:type="character" w:styleId="Titolo3Carattere" w:customStyle="1">
    <w:name w:val="Titolo 3 Carattere"/>
    <w:basedOn w:val="Carpredefinitoparagrafo"/>
    <w:link w:val="Titolo3"/>
    <w:rsid w:val="00CE5A46"/>
    <w:rPr>
      <w:rFonts w:asciiTheme="majorHAnsi" w:cstheme="majorBidi" w:eastAsiaTheme="majorEastAsia" w:hAnsiTheme="majorHAnsi"/>
      <w:color w:val="243f60" w:themeColor="accent1" w:themeShade="00007F"/>
      <w:sz w:val="24"/>
      <w:szCs w:val="24"/>
    </w:rPr>
  </w:style>
  <w:style w:type="character" w:styleId="Titolo4Carattere" w:customStyle="1">
    <w:name w:val="Titolo 4 Carattere"/>
    <w:basedOn w:val="Carpredefinitoparagrafo"/>
    <w:link w:val="Titolo4"/>
    <w:uiPriority w:val="9"/>
    <w:rsid w:val="00CE5A46"/>
    <w:rPr>
      <w:rFonts w:asciiTheme="majorHAnsi" w:cstheme="majorBidi" w:eastAsiaTheme="majorEastAsia" w:hAnsiTheme="majorHAnsi"/>
      <w:i w:val="1"/>
      <w:iCs w:val="1"/>
      <w:color w:val="365f91" w:themeColor="accent1" w:themeShade="0000BF"/>
    </w:rPr>
  </w:style>
  <w:style w:type="table" w:styleId="Grigliatabella">
    <w:name w:val="Table Grid"/>
    <w:basedOn w:val="Tabellanormale"/>
    <w:uiPriority w:val="39"/>
    <w:rsid w:val="009E02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eWebCarattere" w:customStyle="1">
    <w:name w:val="Normale (Web) Carattere"/>
    <w:link w:val="NormaleWeb"/>
    <w:uiPriority w:val="99"/>
    <w:rsid w:val="00E669F3"/>
    <w:rPr>
      <w:rFonts w:ascii="Times New Roman" w:cs="Times New Roman" w:eastAsia="Times New Roman" w:hAnsi="Times New Roman"/>
      <w:sz w:val="24"/>
      <w:szCs w:val="24"/>
      <w:lang w:eastAsia="it-IT" w:val="it-IT"/>
    </w:rPr>
  </w:style>
  <w:style w:type="character" w:styleId="Titolo5Carattere" w:customStyle="1">
    <w:name w:val="Titolo 5 Carattere"/>
    <w:basedOn w:val="Carpredefinitoparagrafo"/>
    <w:link w:val="Titolo5"/>
    <w:uiPriority w:val="9"/>
    <w:semiHidden w:val="1"/>
    <w:rsid w:val="00E669F3"/>
    <w:rPr>
      <w:rFonts w:asciiTheme="majorHAnsi" w:cstheme="majorBidi" w:eastAsiaTheme="majorEastAsia" w:hAnsiTheme="majorHAnsi"/>
      <w:color w:val="365f91" w:themeColor="accent1" w:themeShade="0000BF"/>
      <w:sz w:val="24"/>
      <w:szCs w:val="24"/>
      <w:lang w:eastAsia="it-IT" w:val="it-IT"/>
    </w:rPr>
  </w:style>
  <w:style w:type="paragraph" w:styleId="Elenco">
    <w:name w:val="List"/>
    <w:basedOn w:val="Normale"/>
    <w:rsid w:val="00E669F3"/>
    <w:pPr>
      <w:ind w:left="283" w:hanging="283"/>
    </w:pPr>
    <w:rPr>
      <w:sz w:val="20"/>
      <w:szCs w:val="20"/>
    </w:rPr>
  </w:style>
  <w:style w:type="paragraph" w:styleId="Revisione">
    <w:name w:val="Revision"/>
    <w:hidden w:val="1"/>
    <w:uiPriority w:val="99"/>
    <w:semiHidden w:val="1"/>
    <w:rsid w:val="002618BD"/>
    <w:pPr>
      <w:widowControl w:val="1"/>
      <w:autoSpaceDE w:val="1"/>
      <w:autoSpaceDN w:val="1"/>
    </w:pPr>
  </w:style>
  <w:style w:type="character" w:styleId="Rimandocommento">
    <w:name w:val="annotation reference"/>
    <w:basedOn w:val="Carpredefinitoparagrafo"/>
    <w:uiPriority w:val="99"/>
    <w:semiHidden w:val="1"/>
    <w:unhideWhenUsed w:val="1"/>
    <w:rsid w:val="002618BD"/>
    <w:rPr>
      <w:sz w:val="16"/>
      <w:szCs w:val="16"/>
    </w:rPr>
  </w:style>
  <w:style w:type="paragraph" w:styleId="Testocommento">
    <w:name w:val="annotation text"/>
    <w:basedOn w:val="Normale"/>
    <w:link w:val="TestocommentoCarattere"/>
    <w:uiPriority w:val="99"/>
    <w:unhideWhenUsed w:val="1"/>
    <w:rsid w:val="002618BD"/>
    <w:pPr>
      <w:widowControl w:val="0"/>
      <w:autoSpaceDE w:val="0"/>
      <w:autoSpaceDN w:val="0"/>
    </w:pPr>
    <w:rPr>
      <w:rFonts w:asciiTheme="minorHAnsi" w:cstheme="minorBidi" w:eastAsiaTheme="minorHAnsi" w:hAnsiTheme="minorHAnsi"/>
      <w:sz w:val="20"/>
      <w:szCs w:val="20"/>
      <w:lang w:eastAsia="en-US" w:val="en-US"/>
    </w:rPr>
  </w:style>
  <w:style w:type="character" w:styleId="TestocommentoCarattere" w:customStyle="1">
    <w:name w:val="Testo commento Carattere"/>
    <w:basedOn w:val="Carpredefinitoparagrafo"/>
    <w:link w:val="Testocommento"/>
    <w:uiPriority w:val="99"/>
    <w:rsid w:val="002618BD"/>
    <w:rPr>
      <w:sz w:val="20"/>
      <w:szCs w:val="20"/>
    </w:rPr>
  </w:style>
  <w:style w:type="paragraph" w:styleId="Soggettocommento">
    <w:name w:val="annotation subject"/>
    <w:basedOn w:val="Testocommento"/>
    <w:next w:val="Testocommento"/>
    <w:link w:val="SoggettocommentoCarattere"/>
    <w:uiPriority w:val="99"/>
    <w:semiHidden w:val="1"/>
    <w:unhideWhenUsed w:val="1"/>
    <w:rsid w:val="002618BD"/>
    <w:rPr>
      <w:b w:val="1"/>
      <w:bCs w:val="1"/>
    </w:rPr>
  </w:style>
  <w:style w:type="character" w:styleId="SoggettocommentoCarattere" w:customStyle="1">
    <w:name w:val="Soggetto commento Carattere"/>
    <w:basedOn w:val="TestocommentoCarattere"/>
    <w:link w:val="Soggettocommento"/>
    <w:uiPriority w:val="99"/>
    <w:semiHidden w:val="1"/>
    <w:rsid w:val="002618BD"/>
    <w:rPr>
      <w:b w:val="1"/>
      <w:bCs w:val="1"/>
      <w:sz w:val="20"/>
      <w:szCs w:val="20"/>
    </w:rPr>
  </w:style>
  <w:style w:type="character" w:styleId="Menzionenonrisolta2" w:customStyle="1">
    <w:name w:val="Menzione non risolta2"/>
    <w:basedOn w:val="Carpredefinitoparagrafo"/>
    <w:uiPriority w:val="99"/>
    <w:semiHidden w:val="1"/>
    <w:unhideWhenUsed w:val="1"/>
    <w:rsid w:val="00E96A38"/>
    <w:rPr>
      <w:color w:val="605e5c"/>
      <w:shd w:color="auto" w:fill="e1dfdd" w:val="clear"/>
    </w:rPr>
  </w:style>
  <w:style w:type="character" w:styleId="Rimandonotaapidipagina">
    <w:name w:val="footnote reference"/>
    <w:basedOn w:val="Carpredefinitoparagrafo"/>
    <w:uiPriority w:val="99"/>
    <w:semiHidden w:val="1"/>
    <w:unhideWhenUsed w:val="1"/>
    <w:rsid w:val="00E96A38"/>
    <w:rPr>
      <w:vertAlign w:val="superscript"/>
    </w:rPr>
  </w:style>
  <w:style w:type="paragraph" w:styleId="Testonotaapidipagina">
    <w:name w:val="footnote text"/>
    <w:basedOn w:val="Normale"/>
    <w:link w:val="TestonotaapidipaginaCarattere"/>
    <w:unhideWhenUsed w:val="1"/>
    <w:rsid w:val="00E96A38"/>
    <w:pPr>
      <w:suppressAutoHyphens w:val="1"/>
      <w:jc w:val="both"/>
    </w:pPr>
    <w:rPr>
      <w:rFonts w:ascii="Arial" w:eastAsia="MS PGothic" w:hAnsi="Arial"/>
      <w:sz w:val="20"/>
      <w:szCs w:val="20"/>
      <w:lang w:eastAsia="en-US"/>
    </w:rPr>
  </w:style>
  <w:style w:type="character" w:styleId="TestonotaapidipaginaCarattere" w:customStyle="1">
    <w:name w:val="Testo nota a piè di pagina Carattere"/>
    <w:basedOn w:val="Carpredefinitoparagrafo"/>
    <w:link w:val="Testonotaapidipagina"/>
    <w:qFormat w:val="1"/>
    <w:rsid w:val="00E96A38"/>
    <w:rPr>
      <w:rFonts w:ascii="Arial" w:cs="Times New Roman" w:eastAsia="MS PGothic" w:hAnsi="Arial"/>
      <w:sz w:val="20"/>
      <w:szCs w:val="20"/>
      <w:lang w:val="it-IT"/>
    </w:rPr>
  </w:style>
  <w:style w:type="character" w:styleId="ui-provider" w:customStyle="1">
    <w:name w:val="ui-provider"/>
    <w:basedOn w:val="Carpredefinitoparagrafo"/>
    <w:rsid w:val="00956B17"/>
  </w:style>
  <w:style w:type="character" w:styleId="Enfasigrassetto">
    <w:name w:val="Strong"/>
    <w:basedOn w:val="Carpredefinitoparagrafo"/>
    <w:uiPriority w:val="22"/>
    <w:qFormat w:val="1"/>
    <w:rsid w:val="00956B17"/>
    <w:rPr>
      <w:b w:val="1"/>
      <w:bCs w:val="1"/>
    </w:rPr>
  </w:style>
  <w:style w:type="numbering" w:styleId="Elencocorrente2" w:customStyle="1">
    <w:name w:val="Elenco corrente2"/>
    <w:uiPriority w:val="99"/>
    <w:rsid w:val="007A4C74"/>
    <w:pPr>
      <w:numPr>
        <w:numId w:val="2"/>
      </w:numPr>
    </w:pPr>
  </w:style>
  <w:style w:type="paragraph" w:styleId="Default" w:customStyle="1">
    <w:name w:val="Default"/>
    <w:rsid w:val="0039407D"/>
    <w:pPr>
      <w:widowControl w:val="1"/>
      <w:adjustRightInd w:val="0"/>
    </w:pPr>
    <w:rPr>
      <w:rFonts w:ascii="Times New Roman" w:cs="Times New Roman" w:hAnsi="Times New Roman"/>
      <w:color w:val="000000"/>
      <w:sz w:val="24"/>
      <w:szCs w:val="24"/>
      <w:lang w:val="it-IT"/>
    </w:rPr>
  </w:style>
  <w:style w:type="numbering" w:styleId="Elencocorrente3" w:customStyle="1">
    <w:name w:val="Elenco corrente3"/>
    <w:uiPriority w:val="99"/>
    <w:rsid w:val="002D38FC"/>
    <w:pPr>
      <w:numPr>
        <w:numId w:val="3"/>
      </w:numPr>
    </w:pPr>
  </w:style>
  <w:style w:type="paragraph" w:styleId="footnotedescription" w:customStyle="1">
    <w:name w:val="footnote description"/>
    <w:next w:val="Normale"/>
    <w:link w:val="footnotedescriptionChar"/>
    <w:hidden w:val="1"/>
    <w:rsid w:val="00FD49CB"/>
    <w:pPr>
      <w:widowControl w:val="1"/>
      <w:autoSpaceDE w:val="1"/>
      <w:autoSpaceDN w:val="1"/>
      <w:spacing w:line="269" w:lineRule="auto"/>
      <w:ind w:left="142"/>
    </w:pPr>
    <w:rPr>
      <w:rFonts w:ascii="Calibri" w:cs="Calibri" w:eastAsia="Calibri" w:hAnsi="Calibri"/>
      <w:color w:val="000000"/>
      <w:sz w:val="20"/>
      <w:lang w:eastAsia="it-IT" w:val="it-IT"/>
    </w:rPr>
  </w:style>
  <w:style w:type="character" w:styleId="footnotedescriptionChar" w:customStyle="1">
    <w:name w:val="footnote description Char"/>
    <w:link w:val="footnotedescription"/>
    <w:rsid w:val="00FD49CB"/>
    <w:rPr>
      <w:rFonts w:ascii="Calibri" w:cs="Calibri" w:eastAsia="Calibri" w:hAnsi="Calibri"/>
      <w:color w:val="000000"/>
      <w:sz w:val="20"/>
      <w:lang w:eastAsia="it-IT" w:val="it-IT"/>
    </w:rPr>
  </w:style>
  <w:style w:type="character" w:styleId="footnotemark" w:customStyle="1">
    <w:name w:val="footnote mark"/>
    <w:hidden w:val="1"/>
    <w:rsid w:val="00FD49CB"/>
    <w:rPr>
      <w:rFonts w:ascii="Calibri" w:cs="Calibri" w:eastAsia="Calibri" w:hAnsi="Calibri"/>
      <w:color w:val="000000"/>
      <w:sz w:val="20"/>
      <w:vertAlign w:val="superscript"/>
    </w:rPr>
  </w:style>
  <w:style w:type="character" w:styleId="Testosegnaposto">
    <w:name w:val="Placeholder Text"/>
    <w:basedOn w:val="Carpredefinitoparagrafo"/>
    <w:uiPriority w:val="99"/>
    <w:semiHidden w:val="1"/>
    <w:rsid w:val="009C32A7"/>
    <w:rPr>
      <w:color w:val="808080"/>
    </w:rPr>
  </w:style>
  <w:style w:type="character" w:styleId="ParagrafoelencoCarattere" w:customStyle="1">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val="1"/>
    <w:rsid w:val="004549B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europa.eu/docsroom/documents/42921/attachments/1/translations/it/renditions/native#:~:text=La%20categoria%20delle%20micro%2C%20piccole,i%2043%20milioni%20di%20eur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MRsqeHl+eei5Qnvv+0h+UwvdA==">CgMxLjA4AHIhMVkxekFBT0dHMkdyZ3lFUllFODIzMmV6RGdJUV91VWF0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